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7F1833" w:rsidRDefault="00963793" w:rsidP="00124553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  <w:lang w:val="es-VE"/>
        </w:rPr>
      </w:pPr>
      <w:r w:rsidRPr="007F1833">
        <w:rPr>
          <w:rFonts w:ascii="Arial" w:hAnsi="Arial" w:cs="Arial"/>
          <w:b/>
          <w:sz w:val="24"/>
          <w:szCs w:val="24"/>
          <w:u w:val="single"/>
          <w:lang w:val="es-VE"/>
        </w:rPr>
        <w:t>REQUERIMIENTOS APER</w:t>
      </w:r>
      <w:r w:rsidR="00511D9D">
        <w:rPr>
          <w:rFonts w:ascii="Arial" w:hAnsi="Arial" w:cs="Arial"/>
          <w:b/>
          <w:sz w:val="24"/>
          <w:szCs w:val="24"/>
          <w:u w:val="single"/>
          <w:lang w:val="es-VE"/>
        </w:rPr>
        <w:t>T</w:t>
      </w:r>
      <w:bookmarkStart w:id="0" w:name="_GoBack"/>
      <w:bookmarkEnd w:id="0"/>
      <w:r w:rsidRPr="007F1833">
        <w:rPr>
          <w:rFonts w:ascii="Arial" w:hAnsi="Arial" w:cs="Arial"/>
          <w:b/>
          <w:sz w:val="24"/>
          <w:szCs w:val="24"/>
          <w:u w:val="single"/>
          <w:lang w:val="es-VE"/>
        </w:rPr>
        <w:t>URA Y MANTENIMIENTO DE EXPEDIENTES</w:t>
      </w:r>
    </w:p>
    <w:p w:rsidR="00963793" w:rsidRPr="00124553" w:rsidRDefault="00963793" w:rsidP="00124553">
      <w:pPr>
        <w:ind w:firstLine="0"/>
        <w:jc w:val="center"/>
        <w:rPr>
          <w:b/>
          <w:u w:val="single"/>
          <w:lang w:val="es-VE"/>
        </w:rPr>
      </w:pPr>
    </w:p>
    <w:p w:rsidR="00963793" w:rsidRPr="007F1833" w:rsidRDefault="00963793" w:rsidP="007F1833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F1833">
        <w:rPr>
          <w:rFonts w:ascii="Arial" w:hAnsi="Arial" w:cs="Arial"/>
          <w:b/>
          <w:sz w:val="28"/>
          <w:szCs w:val="28"/>
        </w:rPr>
        <w:t xml:space="preserve">Persona </w:t>
      </w:r>
      <w:proofErr w:type="spellStart"/>
      <w:r w:rsidRPr="007F1833">
        <w:rPr>
          <w:rFonts w:ascii="Arial" w:hAnsi="Arial" w:cs="Arial"/>
          <w:b/>
          <w:sz w:val="28"/>
          <w:szCs w:val="28"/>
        </w:rPr>
        <w:t>Jurídica</w:t>
      </w:r>
      <w:proofErr w:type="spellEnd"/>
    </w:p>
    <w:p w:rsidR="00963793" w:rsidRPr="007F1833" w:rsidRDefault="00963793">
      <w:pPr>
        <w:rPr>
          <w:rFonts w:ascii="Arial" w:hAnsi="Arial" w:cs="Arial"/>
          <w:lang w:val="es-V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668"/>
      </w:tblGrid>
      <w:tr w:rsidR="00963793" w:rsidRPr="007F1833" w:rsidTr="00834FD2">
        <w:tc>
          <w:tcPr>
            <w:tcW w:w="4788" w:type="dxa"/>
          </w:tcPr>
          <w:p w:rsidR="00963793" w:rsidRPr="007F1833" w:rsidRDefault="00963793" w:rsidP="00637C3D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</w:rPr>
            </w:pPr>
            <w:r w:rsidRPr="007F1833">
              <w:rPr>
                <w:rFonts w:ascii="Arial" w:hAnsi="Arial" w:cs="Arial"/>
                <w:b/>
              </w:rPr>
              <w:t>REQUERIMIENTO</w:t>
            </w:r>
          </w:p>
        </w:tc>
        <w:tc>
          <w:tcPr>
            <w:tcW w:w="5668" w:type="dxa"/>
          </w:tcPr>
          <w:p w:rsidR="00963793" w:rsidRPr="007F1833" w:rsidRDefault="00963793" w:rsidP="00637C3D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lang w:val="es-VE"/>
              </w:rPr>
            </w:pPr>
            <w:r w:rsidRPr="007F1833">
              <w:rPr>
                <w:rFonts w:ascii="Arial" w:hAnsi="Arial" w:cs="Arial"/>
                <w:b/>
                <w:lang w:val="es-VE"/>
              </w:rPr>
              <w:t>OBSERVACIONES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 xml:space="preserve">Copia Cédula de Identidad </w:t>
            </w:r>
            <w:r w:rsidR="00DD6BDE" w:rsidRPr="007F1833">
              <w:rPr>
                <w:rFonts w:ascii="Arial" w:hAnsi="Arial" w:cs="Arial"/>
                <w:lang w:val="es-VE"/>
              </w:rPr>
              <w:t>vigente de los r</w:t>
            </w:r>
            <w:r w:rsidRPr="007F1833">
              <w:rPr>
                <w:rFonts w:ascii="Arial" w:hAnsi="Arial" w:cs="Arial"/>
                <w:lang w:val="es-VE"/>
              </w:rPr>
              <w:t xml:space="preserve">epresentantes </w:t>
            </w:r>
            <w:r w:rsidR="00DD6BDE" w:rsidRPr="007F1833">
              <w:rPr>
                <w:rFonts w:ascii="Arial" w:hAnsi="Arial" w:cs="Arial"/>
                <w:lang w:val="es-VE"/>
              </w:rPr>
              <w:t>l</w:t>
            </w:r>
            <w:r w:rsidRPr="007F1833">
              <w:rPr>
                <w:rFonts w:ascii="Arial" w:hAnsi="Arial" w:cs="Arial"/>
                <w:lang w:val="es-VE"/>
              </w:rPr>
              <w:t>egales y</w:t>
            </w:r>
            <w:r w:rsidR="00DD6BDE" w:rsidRPr="007F1833">
              <w:rPr>
                <w:rFonts w:ascii="Arial" w:hAnsi="Arial" w:cs="Arial"/>
                <w:lang w:val="es-VE"/>
              </w:rPr>
              <w:t xml:space="preserve">/o </w:t>
            </w:r>
            <w:r w:rsidRPr="007F1833">
              <w:rPr>
                <w:rFonts w:ascii="Arial" w:hAnsi="Arial" w:cs="Arial"/>
                <w:lang w:val="es-VE"/>
              </w:rPr>
              <w:t xml:space="preserve"> Firmas Autorizadas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Pasaporte en caso de ser extranjero</w:t>
            </w:r>
          </w:p>
        </w:tc>
      </w:tr>
      <w:tr w:rsidR="00DD6BDE" w:rsidRPr="00511D9D" w:rsidTr="00834FD2">
        <w:tc>
          <w:tcPr>
            <w:tcW w:w="4788" w:type="dxa"/>
          </w:tcPr>
          <w:p w:rsidR="00DD6BDE" w:rsidRPr="007F1833" w:rsidRDefault="00DD6BDE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Copia del Rif vigente de los representantes legales y/o Firmas Autorizadas</w:t>
            </w:r>
          </w:p>
        </w:tc>
        <w:tc>
          <w:tcPr>
            <w:tcW w:w="5668" w:type="dxa"/>
          </w:tcPr>
          <w:p w:rsidR="00DD6BDE" w:rsidRPr="007F1833" w:rsidRDefault="00DD6BDE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</w:p>
        </w:tc>
      </w:tr>
      <w:tr w:rsidR="00963793" w:rsidRPr="007F1833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Ficha de Identificación del Inversor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Debe contener información sobre monto a invertir y si se espera enviar o recibir transferencias desde o hacia el exterior. Huellas Digitales y firmas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Declaración Jurada Origen y Destino de Fondos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Formato de la SUNAVAL (</w:t>
            </w:r>
            <w:r w:rsidR="00DD6BDE" w:rsidRPr="007F1833">
              <w:rPr>
                <w:rFonts w:ascii="Arial" w:hAnsi="Arial" w:cs="Arial"/>
                <w:lang w:val="es-VE"/>
              </w:rPr>
              <w:t xml:space="preserve">planilla </w:t>
            </w:r>
            <w:r w:rsidRPr="007F1833">
              <w:rPr>
                <w:rFonts w:ascii="Arial" w:hAnsi="Arial" w:cs="Arial"/>
                <w:lang w:val="es-VE"/>
              </w:rPr>
              <w:t>anex</w:t>
            </w:r>
            <w:r w:rsidR="00DD6BDE" w:rsidRPr="007F1833">
              <w:rPr>
                <w:rFonts w:ascii="Arial" w:hAnsi="Arial" w:cs="Arial"/>
                <w:lang w:val="es-VE"/>
              </w:rPr>
              <w:t>a</w:t>
            </w:r>
            <w:r w:rsidRPr="007F1833">
              <w:rPr>
                <w:rFonts w:ascii="Arial" w:hAnsi="Arial" w:cs="Arial"/>
                <w:lang w:val="es-VE"/>
              </w:rPr>
              <w:t>)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 xml:space="preserve">Copia </w:t>
            </w:r>
            <w:r w:rsidR="004A7826">
              <w:rPr>
                <w:rFonts w:ascii="Arial" w:hAnsi="Arial" w:cs="Arial"/>
                <w:lang w:val="es-VE"/>
              </w:rPr>
              <w:t xml:space="preserve">vigente </w:t>
            </w:r>
            <w:r w:rsidRPr="007F1833">
              <w:rPr>
                <w:rFonts w:ascii="Arial" w:hAnsi="Arial" w:cs="Arial"/>
                <w:lang w:val="es-VE"/>
              </w:rPr>
              <w:t>del RIF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Fecha de Vencimiento debe ser visible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Referencias Bancarias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Emitida por el Banco. Debe cont</w:t>
            </w:r>
            <w:r w:rsidR="007F1833">
              <w:rPr>
                <w:rFonts w:ascii="Arial" w:hAnsi="Arial" w:cs="Arial"/>
                <w:lang w:val="es-VE"/>
              </w:rPr>
              <w:t xml:space="preserve">ener número de cuenta y cifras que maneja.  En caso de </w:t>
            </w:r>
            <w:r w:rsidRPr="007F1833">
              <w:rPr>
                <w:rFonts w:ascii="Arial" w:hAnsi="Arial" w:cs="Arial"/>
                <w:lang w:val="es-VE"/>
              </w:rPr>
              <w:t>montos inconsistentes con el nivel de inversión reflejado en ficha, deberá solicitarse más de una referencia.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Documentos Constitutivos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 xml:space="preserve">Con Registro Fiscal. Apostilla </w:t>
            </w:r>
            <w:r w:rsidR="007F1833">
              <w:rPr>
                <w:rFonts w:ascii="Arial" w:hAnsi="Arial" w:cs="Arial"/>
                <w:lang w:val="es-VE"/>
              </w:rPr>
              <w:t xml:space="preserve">en caso </w:t>
            </w:r>
            <w:r w:rsidRPr="007F1833">
              <w:rPr>
                <w:rFonts w:ascii="Arial" w:hAnsi="Arial" w:cs="Arial"/>
                <w:lang w:val="es-VE"/>
              </w:rPr>
              <w:t>de ser extranjero</w:t>
            </w:r>
          </w:p>
        </w:tc>
      </w:tr>
      <w:tr w:rsidR="00963793" w:rsidRPr="007F1833" w:rsidTr="00834FD2">
        <w:tc>
          <w:tcPr>
            <w:tcW w:w="4788" w:type="dxa"/>
          </w:tcPr>
          <w:p w:rsidR="00963793" w:rsidRPr="007F1833" w:rsidRDefault="004A7826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Documento de Registro Mercantil</w:t>
            </w:r>
            <w:r w:rsidR="00963793" w:rsidRPr="007F1833">
              <w:rPr>
                <w:rFonts w:ascii="Arial" w:hAnsi="Arial" w:cs="Arial"/>
                <w:lang w:val="es-VE"/>
              </w:rPr>
              <w:t xml:space="preserve"> y </w:t>
            </w:r>
            <w:r>
              <w:rPr>
                <w:rFonts w:ascii="Arial" w:hAnsi="Arial" w:cs="Arial"/>
                <w:lang w:val="es-VE"/>
              </w:rPr>
              <w:t>sus respectivas modificaciones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Debe Incluir cambios de denominación, representantes legales, juntas directivas y cualquier otra modificación pertinente.   Apostilla en caso de ser extranjero</w:t>
            </w:r>
          </w:p>
        </w:tc>
      </w:tr>
      <w:tr w:rsidR="00963793" w:rsidRPr="007F1833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Poder Legal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En caso de que se actúe a cuenta de otros. Debidamente registrado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Estados Financieros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Recientes y consistente con información en ficha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Tres (3) últimas Declaraciones de Impuesto sobre la Renta</w:t>
            </w:r>
          </w:p>
        </w:tc>
        <w:tc>
          <w:tcPr>
            <w:tcW w:w="5668" w:type="dxa"/>
          </w:tcPr>
          <w:p w:rsidR="00963793" w:rsidRPr="007F1833" w:rsidRDefault="004A7826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>Y constancia del pago respectivo</w:t>
            </w: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Comprobante de Domicilio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 xml:space="preserve">Recibos de Luz, Agua, Telefonía fija o celular o constancias emitidas por autoridad civil. </w:t>
            </w:r>
          </w:p>
        </w:tc>
      </w:tr>
      <w:tr w:rsidR="00963793" w:rsidRPr="007F1833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Contrato Apertura Cuenta Corretaje Bursátil</w:t>
            </w:r>
          </w:p>
          <w:p w:rsidR="00DD6BDE" w:rsidRPr="007F1833" w:rsidRDefault="00DD6BDE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</w:p>
        </w:tc>
      </w:tr>
      <w:tr w:rsidR="00963793" w:rsidRPr="00511D9D" w:rsidTr="00834FD2">
        <w:tc>
          <w:tcPr>
            <w:tcW w:w="478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Constancias Verificación de la Información</w:t>
            </w:r>
          </w:p>
        </w:tc>
        <w:tc>
          <w:tcPr>
            <w:tcW w:w="5668" w:type="dxa"/>
          </w:tcPr>
          <w:p w:rsidR="00963793" w:rsidRPr="007F1833" w:rsidRDefault="00963793" w:rsidP="004A7826">
            <w:pPr>
              <w:spacing w:before="0"/>
              <w:ind w:firstLine="0"/>
              <w:rPr>
                <w:rFonts w:ascii="Arial" w:hAnsi="Arial" w:cs="Arial"/>
                <w:lang w:val="es-VE"/>
              </w:rPr>
            </w:pPr>
            <w:r w:rsidRPr="007F1833">
              <w:rPr>
                <w:rFonts w:ascii="Arial" w:hAnsi="Arial" w:cs="Arial"/>
                <w:lang w:val="es-VE"/>
              </w:rPr>
              <w:t>Impresión constancia de SENIAT y cualquier otro documento que ofrezca información del inversor, comunicaciones recibidas, soportes, etc.</w:t>
            </w:r>
          </w:p>
        </w:tc>
      </w:tr>
    </w:tbl>
    <w:p w:rsidR="00834FD2" w:rsidRDefault="00834FD2" w:rsidP="007F1833">
      <w:pPr>
        <w:ind w:firstLine="0"/>
        <w:rPr>
          <w:rFonts w:ascii="Arial" w:hAnsi="Arial" w:cs="Arial"/>
          <w:b/>
          <w:i/>
          <w:highlight w:val="lightGray"/>
          <w:lang w:val="es-VE"/>
        </w:rPr>
      </w:pPr>
    </w:p>
    <w:p w:rsidR="007F1833" w:rsidRPr="007F1833" w:rsidRDefault="007F1833" w:rsidP="007F1833">
      <w:pPr>
        <w:ind w:firstLine="0"/>
        <w:rPr>
          <w:rFonts w:ascii="Arial" w:hAnsi="Arial" w:cs="Arial"/>
          <w:i/>
          <w:lang w:val="es-VE"/>
        </w:rPr>
      </w:pPr>
      <w:r w:rsidRPr="004A7826">
        <w:rPr>
          <w:rFonts w:ascii="Arial" w:hAnsi="Arial" w:cs="Arial"/>
          <w:b/>
          <w:i/>
          <w:highlight w:val="lightGray"/>
          <w:lang w:val="es-VE"/>
        </w:rPr>
        <w:t>Nota</w:t>
      </w:r>
      <w:r w:rsidRPr="007F1833">
        <w:rPr>
          <w:rFonts w:ascii="Arial" w:hAnsi="Arial" w:cs="Arial"/>
          <w:i/>
          <w:highlight w:val="lightGray"/>
          <w:lang w:val="es-VE"/>
        </w:rPr>
        <w:t>: Aun cuan</w:t>
      </w:r>
      <w:r w:rsidR="004A7826">
        <w:rPr>
          <w:rFonts w:ascii="Arial" w:hAnsi="Arial" w:cs="Arial"/>
          <w:i/>
          <w:highlight w:val="lightGray"/>
          <w:lang w:val="es-VE"/>
        </w:rPr>
        <w:t xml:space="preserve">do la información del inversor </w:t>
      </w:r>
      <w:r w:rsidRPr="007F1833">
        <w:rPr>
          <w:rFonts w:ascii="Arial" w:hAnsi="Arial" w:cs="Arial"/>
          <w:i/>
          <w:highlight w:val="lightGray"/>
          <w:lang w:val="es-VE"/>
        </w:rPr>
        <w:t>no haya variado, el expediente debe ser actualizado cada dos (2) años.</w:t>
      </w:r>
    </w:p>
    <w:p w:rsidR="00963793" w:rsidRPr="007F1833" w:rsidRDefault="00963793">
      <w:pPr>
        <w:rPr>
          <w:rFonts w:ascii="Arial" w:hAnsi="Arial" w:cs="Arial"/>
          <w:lang w:val="es-VE"/>
        </w:rPr>
      </w:pPr>
    </w:p>
    <w:sectPr w:rsidR="00963793" w:rsidRPr="007F1833" w:rsidSect="00834FD2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C3B"/>
    <w:multiLevelType w:val="hybridMultilevel"/>
    <w:tmpl w:val="1CF43430"/>
    <w:lvl w:ilvl="0" w:tplc="5C7ED6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A44"/>
    <w:multiLevelType w:val="hybridMultilevel"/>
    <w:tmpl w:val="AE2EB06C"/>
    <w:lvl w:ilvl="0" w:tplc="A1DCF5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54C52"/>
    <w:multiLevelType w:val="hybridMultilevel"/>
    <w:tmpl w:val="703C2BEA"/>
    <w:lvl w:ilvl="0" w:tplc="63F05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2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B120F"/>
    <w:multiLevelType w:val="hybridMultilevel"/>
    <w:tmpl w:val="13AC03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D"/>
    <w:rsid w:val="00014CC0"/>
    <w:rsid w:val="0004325C"/>
    <w:rsid w:val="0009050B"/>
    <w:rsid w:val="000C478C"/>
    <w:rsid w:val="00124553"/>
    <w:rsid w:val="001948C7"/>
    <w:rsid w:val="00346CB3"/>
    <w:rsid w:val="00350472"/>
    <w:rsid w:val="003B64EA"/>
    <w:rsid w:val="004A7826"/>
    <w:rsid w:val="004E00F7"/>
    <w:rsid w:val="00511D9D"/>
    <w:rsid w:val="00605A64"/>
    <w:rsid w:val="0060619B"/>
    <w:rsid w:val="00637C3D"/>
    <w:rsid w:val="00654832"/>
    <w:rsid w:val="00766D20"/>
    <w:rsid w:val="00796268"/>
    <w:rsid w:val="007B1221"/>
    <w:rsid w:val="007E1097"/>
    <w:rsid w:val="007F1833"/>
    <w:rsid w:val="00834FD2"/>
    <w:rsid w:val="00955C78"/>
    <w:rsid w:val="009636DE"/>
    <w:rsid w:val="00963793"/>
    <w:rsid w:val="00B3067E"/>
    <w:rsid w:val="00D958CD"/>
    <w:rsid w:val="00DA2FED"/>
    <w:rsid w:val="00DD6BDE"/>
    <w:rsid w:val="00E973CF"/>
    <w:rsid w:val="00EB4FFD"/>
    <w:rsid w:val="00FA104D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0D681"/>
  <w15:docId w15:val="{DB1BE8AA-8566-4E22-8CB8-46E7E638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CF"/>
    <w:pPr>
      <w:spacing w:before="120" w:after="120" w:line="252" w:lineRule="auto"/>
      <w:ind w:firstLine="720"/>
      <w:jc w:val="both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A2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47C0-CB51-4005-964A-C9A647AD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REQUERIMIENTOS APERURA Y MANTENIMIENTO DE EXPEDIENTES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REQUERIMIENTOS APERURA Y MANTENIMIENTO DE EXPEDIENTES</dc:title>
  <dc:creator>Haillet Rivero Morales</dc:creator>
  <cp:lastModifiedBy>Dannya Reyna</cp:lastModifiedBy>
  <cp:revision>2</cp:revision>
  <dcterms:created xsi:type="dcterms:W3CDTF">2020-02-19T19:34:00Z</dcterms:created>
  <dcterms:modified xsi:type="dcterms:W3CDTF">2020-02-19T19:34:00Z</dcterms:modified>
</cp:coreProperties>
</file>